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D77F" w14:textId="77777777" w:rsidR="008C4258" w:rsidRDefault="006E3822">
      <w:pPr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3" behindDoc="0" locked="0" layoutInCell="0" allowOverlap="1" wp14:anchorId="08A60258" wp14:editId="63B4AA1B">
            <wp:simplePos x="0" y="0"/>
            <wp:positionH relativeFrom="margin">
              <wp:posOffset>3686810</wp:posOffset>
            </wp:positionH>
            <wp:positionV relativeFrom="margin">
              <wp:posOffset>12065</wp:posOffset>
            </wp:positionV>
            <wp:extent cx="2510790" cy="728345"/>
            <wp:effectExtent l="0" t="0" r="0" b="0"/>
            <wp:wrapSquare wrapText="bothSides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/>
                    <pic:cNvPicPr>
                      <a:picLocks noChangeAspect="1"/>
                    </pic:cNvPicPr>
                  </pic:nvPicPr>
                  <pic:blipFill>
                    <a:blip r:embed="rId7"/>
                    <a:srcRect r="15601"/>
                    <a:stretch/>
                  </pic:blipFill>
                  <pic:spPr bwMode="auto">
                    <a:xfrm>
                      <a:off x="0" y="0"/>
                      <a:ext cx="2510790" cy="728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24EEBA3B" wp14:editId="756B3CE7">
            <wp:extent cx="1026160" cy="91440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026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2F09B6" w14:textId="77777777" w:rsidR="008C4258" w:rsidRDefault="008C4258">
      <w:pPr>
        <w:rPr>
          <w:b/>
          <w:sz w:val="32"/>
          <w:szCs w:val="32"/>
        </w:rPr>
      </w:pPr>
    </w:p>
    <w:p w14:paraId="08947E83" w14:textId="77777777" w:rsidR="008C4258" w:rsidRDefault="008C4258">
      <w:pPr>
        <w:rPr>
          <w:b/>
          <w:sz w:val="32"/>
          <w:szCs w:val="32"/>
        </w:rPr>
      </w:pPr>
    </w:p>
    <w:p w14:paraId="43C61093" w14:textId="77777777" w:rsidR="008C4258" w:rsidRDefault="008C4258">
      <w:pPr>
        <w:rPr>
          <w:b/>
          <w:sz w:val="32"/>
          <w:szCs w:val="32"/>
        </w:rPr>
      </w:pPr>
    </w:p>
    <w:p w14:paraId="2076BEF5" w14:textId="77777777" w:rsidR="008C4258" w:rsidRDefault="008C4258">
      <w:pPr>
        <w:rPr>
          <w:b/>
          <w:sz w:val="32"/>
          <w:szCs w:val="32"/>
        </w:rPr>
      </w:pPr>
    </w:p>
    <w:p w14:paraId="3B782E8C" w14:textId="3EDF415B" w:rsidR="008C4258" w:rsidRDefault="00295C52">
      <w:pPr>
        <w:jc w:val="center"/>
        <w:rPr>
          <w:b/>
          <w:bCs/>
          <w:sz w:val="32"/>
          <w:szCs w:val="32"/>
        </w:rPr>
      </w:pPr>
      <w:r w:rsidRPr="00295C52">
        <w:rPr>
          <w:b/>
          <w:bCs/>
          <w:sz w:val="32"/>
          <w:szCs w:val="32"/>
        </w:rPr>
        <w:t>ACQUISITION D’UNE SOURCE CALIBRÉE PAR SPHÈRE INTÉGRANTE</w:t>
      </w:r>
    </w:p>
    <w:p w14:paraId="0C9E76EC" w14:textId="77777777" w:rsidR="008C4258" w:rsidRDefault="008C4258">
      <w:pPr>
        <w:rPr>
          <w:b/>
          <w:sz w:val="32"/>
          <w:szCs w:val="32"/>
        </w:rPr>
      </w:pPr>
    </w:p>
    <w:p w14:paraId="3644E8D8" w14:textId="77777777" w:rsidR="008C4258" w:rsidRDefault="006E3822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Décomposition du prix global et forfaitaire</w:t>
      </w:r>
    </w:p>
    <w:p w14:paraId="0CA56749" w14:textId="77777777" w:rsidR="008C4258" w:rsidRDefault="006E3822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(DPGF)</w:t>
      </w:r>
    </w:p>
    <w:p w14:paraId="40781391" w14:textId="77777777" w:rsidR="008C4258" w:rsidRDefault="008C4258">
      <w:pPr>
        <w:rPr>
          <w:sz w:val="32"/>
          <w:szCs w:val="32"/>
        </w:rPr>
      </w:pPr>
    </w:p>
    <w:p w14:paraId="5993766B" w14:textId="77777777" w:rsidR="008C4258" w:rsidRDefault="008C4258">
      <w:pPr>
        <w:rPr>
          <w:sz w:val="32"/>
          <w:szCs w:val="32"/>
        </w:rPr>
      </w:pPr>
    </w:p>
    <w:p w14:paraId="0932D16C" w14:textId="77777777" w:rsidR="008C4258" w:rsidRDefault="008C4258">
      <w:pPr>
        <w:rPr>
          <w:sz w:val="32"/>
          <w:szCs w:val="32"/>
        </w:rPr>
      </w:pPr>
    </w:p>
    <w:p w14:paraId="7D98DAF2" w14:textId="77777777" w:rsidR="008C4258" w:rsidRDefault="008C4258">
      <w:pPr>
        <w:rPr>
          <w:sz w:val="32"/>
          <w:szCs w:val="32"/>
        </w:rPr>
      </w:pPr>
    </w:p>
    <w:p w14:paraId="6C147763" w14:textId="77777777" w:rsidR="008C4258" w:rsidRDefault="008C4258"/>
    <w:p w14:paraId="68350C5F" w14:textId="77777777" w:rsidR="008C4258" w:rsidRDefault="006E3822">
      <w:r>
        <w:br w:type="page" w:clear="all"/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37"/>
        <w:gridCol w:w="4531"/>
        <w:gridCol w:w="1747"/>
        <w:gridCol w:w="1090"/>
        <w:gridCol w:w="1588"/>
      </w:tblGrid>
      <w:tr w:rsidR="008C4258" w14:paraId="76406002" w14:textId="77777777" w:rsidTr="00295C52">
        <w:trPr>
          <w:trHeight w:val="567"/>
        </w:trPr>
        <w:tc>
          <w:tcPr>
            <w:tcW w:w="537" w:type="dxa"/>
            <w:shd w:val="clear" w:color="E7E6E6" w:themeColor="background2" w:fill="E7E6E6" w:themeFill="background2"/>
          </w:tcPr>
          <w:p w14:paraId="562878A5" w14:textId="77777777" w:rsidR="008C4258" w:rsidRDefault="006E3822">
            <w:pPr>
              <w:pageBreakBefore/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 w:cs="Arial"/>
                <w:b/>
              </w:rPr>
              <w:lastRenderedPageBreak/>
              <w:t>N°</w:t>
            </w:r>
          </w:p>
        </w:tc>
        <w:tc>
          <w:tcPr>
            <w:tcW w:w="4531" w:type="dxa"/>
            <w:shd w:val="clear" w:color="E7E6E6" w:themeColor="background2" w:fill="E7E6E6" w:themeFill="background2"/>
          </w:tcPr>
          <w:p w14:paraId="69A92D80" w14:textId="77777777" w:rsidR="008C4258" w:rsidRDefault="006E38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 w:cs="Arial"/>
                <w:b/>
              </w:rPr>
              <w:t>Désignation des prestations</w:t>
            </w:r>
          </w:p>
        </w:tc>
        <w:tc>
          <w:tcPr>
            <w:tcW w:w="1747" w:type="dxa"/>
            <w:shd w:val="clear" w:color="E7E6E6" w:themeColor="background2" w:fill="E7E6E6" w:themeFill="background2"/>
          </w:tcPr>
          <w:p w14:paraId="1A43865B" w14:textId="77777777" w:rsidR="008C4258" w:rsidRDefault="006E38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 w:cs="Arial"/>
                <w:b/>
              </w:rPr>
              <w:t>Unité</w:t>
            </w:r>
          </w:p>
          <w:p w14:paraId="2B861864" w14:textId="77777777" w:rsidR="008C4258" w:rsidRDefault="008C4258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90" w:type="dxa"/>
            <w:shd w:val="clear" w:color="E7E6E6" w:themeColor="background2" w:fill="E7E6E6" w:themeFill="background2"/>
          </w:tcPr>
          <w:p w14:paraId="52628B2B" w14:textId="77777777" w:rsidR="008C4258" w:rsidRDefault="006E38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 w:cs="Arial"/>
                <w:b/>
              </w:rPr>
              <w:t>Montant (€ HT)</w:t>
            </w:r>
          </w:p>
        </w:tc>
        <w:tc>
          <w:tcPr>
            <w:tcW w:w="1588" w:type="dxa"/>
            <w:shd w:val="clear" w:color="E7E6E6" w:themeColor="background2" w:fill="E7E6E6" w:themeFill="background2"/>
          </w:tcPr>
          <w:p w14:paraId="2981DE78" w14:textId="77777777" w:rsidR="008C4258" w:rsidRDefault="006E38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 w:cs="Arial"/>
                <w:b/>
              </w:rPr>
              <w:t>Montant (€ TTC)</w:t>
            </w:r>
          </w:p>
        </w:tc>
      </w:tr>
      <w:tr w:rsidR="008C4258" w14:paraId="20A73547" w14:textId="77777777" w:rsidTr="00295C52">
        <w:tc>
          <w:tcPr>
            <w:tcW w:w="537" w:type="dxa"/>
          </w:tcPr>
          <w:p w14:paraId="1EB01255" w14:textId="77777777" w:rsidR="008C4258" w:rsidRDefault="006E38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eastAsia="Calibri" w:cs="Arial"/>
                <w:b/>
                <w:bCs/>
              </w:rPr>
              <w:t>1</w:t>
            </w:r>
          </w:p>
        </w:tc>
        <w:tc>
          <w:tcPr>
            <w:tcW w:w="4531" w:type="dxa"/>
          </w:tcPr>
          <w:p w14:paraId="63BC060B" w14:textId="31F44805" w:rsidR="008C4258" w:rsidRDefault="006E3822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Ce prix comprend la fourniture, livraison et installation d’une </w:t>
            </w:r>
            <w:r w:rsidR="00016577">
              <w:rPr>
                <w:rFonts w:eastAsia="Calibri" w:cs="Arial"/>
              </w:rPr>
              <w:t xml:space="preserve">source calibrée par sphère intégrante </w:t>
            </w:r>
            <w:r>
              <w:rPr>
                <w:rFonts w:eastAsia="Calibri" w:cs="Arial"/>
              </w:rPr>
              <w:t>incluant :</w:t>
            </w:r>
          </w:p>
          <w:p w14:paraId="3F40B28E" w14:textId="5BF2272B" w:rsidR="008C4258" w:rsidRDefault="006E382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La documentation technique afférente</w:t>
            </w:r>
            <w:r w:rsidR="00295C52">
              <w:rPr>
                <w:rFonts w:eastAsia="Calibri" w:cs="Arial"/>
              </w:rPr>
              <w:t> ;</w:t>
            </w:r>
          </w:p>
          <w:p w14:paraId="300ED445" w14:textId="35C9D0B7" w:rsidR="008C4258" w:rsidRDefault="006E3822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La garantie</w:t>
            </w:r>
            <w:r w:rsidR="00C53B9D">
              <w:rPr>
                <w:rFonts w:eastAsia="Calibri" w:cs="Arial"/>
              </w:rPr>
              <w:t xml:space="preserve"> 1 an</w:t>
            </w:r>
            <w:r w:rsidR="00295C52">
              <w:rPr>
                <w:rFonts w:eastAsia="Calibri" w:cs="Arial"/>
              </w:rPr>
              <w:t>.</w:t>
            </w:r>
          </w:p>
          <w:p w14:paraId="43F21702" w14:textId="77777777" w:rsidR="008C4258" w:rsidRDefault="008C4258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  <w:p w14:paraId="39698D8E" w14:textId="77777777" w:rsidR="008C4258" w:rsidRDefault="006E3822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Livraison du dispositif à l’Agence de Clermont-Ferrand : 8 rue Bernard Palissy, site du Cerema Centre-Est.</w:t>
            </w:r>
          </w:p>
          <w:p w14:paraId="216854A8" w14:textId="77777777" w:rsidR="008C4258" w:rsidRDefault="008C4258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47" w:type="dxa"/>
            <w:shd w:val="clear" w:color="E7E6E6" w:themeColor="background2" w:fill="E7E6E6" w:themeFill="background2"/>
          </w:tcPr>
          <w:p w14:paraId="3A84833A" w14:textId="77777777" w:rsidR="008C4258" w:rsidRDefault="008C4258"/>
        </w:tc>
        <w:tc>
          <w:tcPr>
            <w:tcW w:w="1090" w:type="dxa"/>
            <w:shd w:val="clear" w:color="E7E6E6" w:themeColor="background2" w:fill="E7E6E6" w:themeFill="background2"/>
          </w:tcPr>
          <w:p w14:paraId="08AB2BE1" w14:textId="77777777" w:rsidR="008C4258" w:rsidRDefault="008C4258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588" w:type="dxa"/>
            <w:shd w:val="clear" w:color="E7E6E6" w:themeColor="background2" w:fill="E7E6E6" w:themeFill="background2"/>
          </w:tcPr>
          <w:p w14:paraId="29BF081E" w14:textId="77777777" w:rsidR="008C4258" w:rsidRDefault="008C4258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8C4258" w14:paraId="6ABDD42B" w14:textId="77777777" w:rsidTr="00295C52">
        <w:trPr>
          <w:trHeight w:val="269"/>
        </w:trPr>
        <w:tc>
          <w:tcPr>
            <w:tcW w:w="537" w:type="dxa"/>
          </w:tcPr>
          <w:p w14:paraId="49B3981E" w14:textId="77777777" w:rsidR="008C4258" w:rsidRDefault="008C4258">
            <w:pPr>
              <w:spacing w:after="0" w:line="240" w:lineRule="auto"/>
              <w:jc w:val="both"/>
              <w:rPr>
                <w:rFonts w:eastAsia="Calibri" w:cs="Arial"/>
                <w:b/>
                <w:bCs/>
              </w:rPr>
            </w:pPr>
          </w:p>
        </w:tc>
        <w:tc>
          <w:tcPr>
            <w:tcW w:w="4531" w:type="dxa"/>
          </w:tcPr>
          <w:p w14:paraId="09DFA100" w14:textId="4E3751D1" w:rsidR="008C4258" w:rsidRDefault="00016577">
            <w:pPr>
              <w:spacing w:after="0"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Source calibrée par sphère intégrante</w:t>
            </w:r>
            <w:r w:rsidR="006E3822">
              <w:rPr>
                <w:rFonts w:eastAsia="Calibri" w:cs="Arial"/>
              </w:rPr>
              <w:t xml:space="preserve"> </w:t>
            </w:r>
          </w:p>
        </w:tc>
        <w:tc>
          <w:tcPr>
            <w:tcW w:w="1747" w:type="dxa"/>
          </w:tcPr>
          <w:p w14:paraId="63303844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eastAsia="Calibri" w:cs="Arial"/>
              </w:rPr>
              <w:t>Forfait</w:t>
            </w:r>
          </w:p>
          <w:p w14:paraId="4BEB7C8B" w14:textId="77777777" w:rsidR="008C4258" w:rsidRDefault="008C4258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090" w:type="dxa"/>
          </w:tcPr>
          <w:p w14:paraId="2415B34B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eastAsia="Calibri" w:cs="Arial"/>
              </w:rPr>
              <w:t>€</w:t>
            </w:r>
          </w:p>
          <w:p w14:paraId="6F8C1311" w14:textId="77777777" w:rsidR="008C4258" w:rsidRDefault="008C4258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588" w:type="dxa"/>
          </w:tcPr>
          <w:p w14:paraId="6BC476AC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eastAsia="Calibri" w:cs="Arial"/>
              </w:rPr>
              <w:t>€</w:t>
            </w:r>
          </w:p>
          <w:p w14:paraId="6B099C4B" w14:textId="77777777" w:rsidR="008C4258" w:rsidRDefault="008C4258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8C4258" w14:paraId="4D2C230E" w14:textId="77777777" w:rsidTr="00295C52">
        <w:trPr>
          <w:trHeight w:val="269"/>
        </w:trPr>
        <w:tc>
          <w:tcPr>
            <w:tcW w:w="537" w:type="dxa"/>
          </w:tcPr>
          <w:p w14:paraId="0F815742" w14:textId="77777777" w:rsidR="008C4258" w:rsidRDefault="008C4258">
            <w:pPr>
              <w:spacing w:after="0" w:line="240" w:lineRule="auto"/>
              <w:jc w:val="both"/>
              <w:rPr>
                <w:rFonts w:eastAsia="Calibri" w:cs="Arial"/>
                <w:b/>
                <w:bCs/>
              </w:rPr>
            </w:pPr>
          </w:p>
        </w:tc>
        <w:tc>
          <w:tcPr>
            <w:tcW w:w="4531" w:type="dxa"/>
          </w:tcPr>
          <w:p w14:paraId="7E72C567" w14:textId="77777777" w:rsidR="008C4258" w:rsidRDefault="008C4258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</w:tc>
        <w:tc>
          <w:tcPr>
            <w:tcW w:w="1747" w:type="dxa"/>
          </w:tcPr>
          <w:p w14:paraId="2D10339C" w14:textId="77777777" w:rsidR="008C4258" w:rsidRDefault="008C4258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090" w:type="dxa"/>
          </w:tcPr>
          <w:p w14:paraId="38EED6AC" w14:textId="77777777" w:rsidR="008C4258" w:rsidRDefault="008C4258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588" w:type="dxa"/>
          </w:tcPr>
          <w:p w14:paraId="64C74EEF" w14:textId="77777777" w:rsidR="008C4258" w:rsidRDefault="008C4258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  <w:tr w:rsidR="008C4258" w14:paraId="77664489" w14:textId="77777777" w:rsidTr="00295C52">
        <w:trPr>
          <w:trHeight w:val="269"/>
        </w:trPr>
        <w:tc>
          <w:tcPr>
            <w:tcW w:w="537" w:type="dxa"/>
          </w:tcPr>
          <w:p w14:paraId="3149B012" w14:textId="77777777" w:rsidR="008C4258" w:rsidRDefault="008C4258">
            <w:pPr>
              <w:spacing w:after="0" w:line="240" w:lineRule="auto"/>
              <w:jc w:val="both"/>
              <w:rPr>
                <w:rFonts w:eastAsia="Calibri" w:cs="Arial"/>
                <w:b/>
                <w:bCs/>
              </w:rPr>
            </w:pPr>
          </w:p>
        </w:tc>
        <w:tc>
          <w:tcPr>
            <w:tcW w:w="4531" w:type="dxa"/>
          </w:tcPr>
          <w:p w14:paraId="267FDBFE" w14:textId="77777777" w:rsidR="008C4258" w:rsidRDefault="008C4258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</w:tc>
        <w:tc>
          <w:tcPr>
            <w:tcW w:w="1747" w:type="dxa"/>
          </w:tcPr>
          <w:p w14:paraId="0C7E4051" w14:textId="77777777" w:rsidR="008C4258" w:rsidRPr="002A2640" w:rsidRDefault="008C4258">
            <w:pPr>
              <w:spacing w:after="0" w:line="240" w:lineRule="auto"/>
              <w:jc w:val="center"/>
              <w:rPr>
                <w:rFonts w:eastAsia="Calibri" w:cs="Arial"/>
                <w:strike/>
              </w:rPr>
            </w:pPr>
          </w:p>
        </w:tc>
        <w:tc>
          <w:tcPr>
            <w:tcW w:w="1090" w:type="dxa"/>
          </w:tcPr>
          <w:p w14:paraId="6A280D42" w14:textId="77777777" w:rsidR="008C4258" w:rsidRPr="002A2640" w:rsidRDefault="008C4258">
            <w:pPr>
              <w:spacing w:after="0" w:line="240" w:lineRule="auto"/>
              <w:jc w:val="center"/>
              <w:rPr>
                <w:rFonts w:eastAsia="Calibri" w:cs="Arial"/>
                <w:strike/>
              </w:rPr>
            </w:pPr>
          </w:p>
        </w:tc>
        <w:tc>
          <w:tcPr>
            <w:tcW w:w="1588" w:type="dxa"/>
          </w:tcPr>
          <w:p w14:paraId="714B78CD" w14:textId="77777777" w:rsidR="008C4258" w:rsidRPr="002A2640" w:rsidRDefault="008C4258">
            <w:pPr>
              <w:spacing w:after="0" w:line="240" w:lineRule="auto"/>
              <w:jc w:val="center"/>
              <w:rPr>
                <w:rFonts w:eastAsia="Calibri" w:cs="Arial"/>
                <w:strike/>
              </w:rPr>
            </w:pPr>
          </w:p>
        </w:tc>
      </w:tr>
    </w:tbl>
    <w:p w14:paraId="7FD472C5" w14:textId="77777777" w:rsidR="008C4258" w:rsidRDefault="008C4258">
      <w:pPr>
        <w:jc w:val="both"/>
      </w:pPr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 w:rsidR="008C4258" w14:paraId="1648F1DF" w14:textId="77777777">
        <w:tc>
          <w:tcPr>
            <w:tcW w:w="582" w:type="dxa"/>
            <w:shd w:val="clear" w:color="E7E6E6" w:themeColor="background2" w:fill="E7E6E6" w:themeFill="background2"/>
          </w:tcPr>
          <w:p w14:paraId="1443EC7A" w14:textId="77777777" w:rsidR="008C4258" w:rsidRDefault="006E3822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eastAsia="Calibri" w:cs="Arial"/>
                <w:b/>
              </w:rPr>
              <w:t>N°</w:t>
            </w:r>
          </w:p>
        </w:tc>
        <w:tc>
          <w:tcPr>
            <w:tcW w:w="5061" w:type="dxa"/>
            <w:shd w:val="clear" w:color="E7E6E6" w:themeColor="background2" w:fill="E7E6E6" w:themeFill="background2"/>
          </w:tcPr>
          <w:p w14:paraId="0CD3B002" w14:textId="77777777" w:rsidR="008C4258" w:rsidRDefault="006E3822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eastAsia="Calibri" w:cs="Arial"/>
                <w:b/>
              </w:rPr>
              <w:t xml:space="preserve">PSE </w:t>
            </w:r>
            <w:r w:rsidRPr="00986C16">
              <w:rPr>
                <w:rFonts w:eastAsia="Calibri" w:cs="Arial"/>
                <w:b/>
              </w:rPr>
              <w:t>facultative n°</w:t>
            </w:r>
            <w:r>
              <w:rPr>
                <w:rFonts w:eastAsia="Calibri" w:cs="Arial"/>
                <w:b/>
              </w:rPr>
              <w:t>1</w:t>
            </w:r>
          </w:p>
        </w:tc>
        <w:tc>
          <w:tcPr>
            <w:tcW w:w="945" w:type="dxa"/>
            <w:shd w:val="clear" w:color="E7E6E6" w:themeColor="background2" w:fill="E7E6E6" w:themeFill="background2"/>
          </w:tcPr>
          <w:p w14:paraId="3013EC3B" w14:textId="77777777" w:rsidR="008C4258" w:rsidRDefault="006E3822"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>Unité</w:t>
            </w:r>
          </w:p>
        </w:tc>
        <w:tc>
          <w:tcPr>
            <w:tcW w:w="1029" w:type="dxa"/>
            <w:shd w:val="clear" w:color="E7E6E6" w:themeColor="background2" w:fill="E7E6E6" w:themeFill="background2"/>
          </w:tcPr>
          <w:p w14:paraId="075A736C" w14:textId="77777777" w:rsidR="008C4258" w:rsidRDefault="006E3822"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>Montant (€ HT)</w:t>
            </w:r>
          </w:p>
        </w:tc>
        <w:tc>
          <w:tcPr>
            <w:tcW w:w="1987" w:type="dxa"/>
            <w:shd w:val="clear" w:color="E7E6E6" w:themeColor="background2" w:fill="E7E6E6" w:themeFill="background2"/>
          </w:tcPr>
          <w:p w14:paraId="340A9D7F" w14:textId="77777777" w:rsidR="008C4258" w:rsidRDefault="006E3822"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>Montant (€ TTC)</w:t>
            </w:r>
          </w:p>
        </w:tc>
      </w:tr>
      <w:tr w:rsidR="008C4258" w14:paraId="1F3428DF" w14:textId="77777777">
        <w:tc>
          <w:tcPr>
            <w:tcW w:w="582" w:type="dxa"/>
          </w:tcPr>
          <w:p w14:paraId="0773BE99" w14:textId="77777777" w:rsidR="008C4258" w:rsidRDefault="006E38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061" w:type="dxa"/>
          </w:tcPr>
          <w:p w14:paraId="7E63AB1A" w14:textId="7881644B" w:rsidR="008C4258" w:rsidRDefault="00016577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>
              <w:rPr>
                <w:rFonts w:eastAsia="Calibri" w:cs="Arial"/>
              </w:rPr>
              <w:t>S</w:t>
            </w:r>
            <w:r w:rsidRPr="00016577">
              <w:rPr>
                <w:rFonts w:eastAsia="Calibri" w:cs="Arial"/>
              </w:rPr>
              <w:t>upport avec son rail motorisé</w:t>
            </w:r>
          </w:p>
        </w:tc>
        <w:tc>
          <w:tcPr>
            <w:tcW w:w="945" w:type="dxa"/>
            <w:shd w:val="clear" w:color="FFFFFF" w:themeColor="background1" w:fill="FFFFFF" w:themeFill="background1"/>
          </w:tcPr>
          <w:p w14:paraId="50A7F523" w14:textId="77777777" w:rsidR="008C4258" w:rsidRDefault="006E3822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Forfait</w:t>
            </w:r>
          </w:p>
        </w:tc>
        <w:tc>
          <w:tcPr>
            <w:tcW w:w="1029" w:type="dxa"/>
            <w:shd w:val="clear" w:color="FFFFFF" w:themeColor="background1" w:fill="FFFFFF" w:themeFill="background1"/>
          </w:tcPr>
          <w:p w14:paraId="567420BF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€</w:t>
            </w:r>
          </w:p>
        </w:tc>
        <w:tc>
          <w:tcPr>
            <w:tcW w:w="1987" w:type="dxa"/>
            <w:shd w:val="clear" w:color="FFFFFF" w:themeColor="background1" w:fill="FFFFFF" w:themeFill="background1"/>
          </w:tcPr>
          <w:p w14:paraId="401921D8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€</w:t>
            </w:r>
          </w:p>
        </w:tc>
      </w:tr>
    </w:tbl>
    <w:p w14:paraId="2F10BED7" w14:textId="77777777" w:rsidR="008C4258" w:rsidRDefault="008C4258">
      <w:pPr>
        <w:jc w:val="both"/>
      </w:pPr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 w:rsidR="008C4258" w14:paraId="2801CCBA" w14:textId="77777777">
        <w:tc>
          <w:tcPr>
            <w:tcW w:w="582" w:type="dxa"/>
            <w:shd w:val="clear" w:color="E7E6E6" w:themeColor="background2" w:fill="E7E6E6" w:themeFill="background2"/>
          </w:tcPr>
          <w:p w14:paraId="3076110D" w14:textId="77777777" w:rsidR="008C4258" w:rsidRDefault="006E3822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eastAsia="Calibri" w:cs="Arial"/>
                <w:b/>
              </w:rPr>
              <w:t>N°</w:t>
            </w:r>
          </w:p>
        </w:tc>
        <w:tc>
          <w:tcPr>
            <w:tcW w:w="5061" w:type="dxa"/>
            <w:shd w:val="clear" w:color="E7E6E6" w:themeColor="background2" w:fill="E7E6E6" w:themeFill="background2"/>
          </w:tcPr>
          <w:p w14:paraId="3C78FC7C" w14:textId="77777777" w:rsidR="008C4258" w:rsidRPr="00986C16" w:rsidRDefault="006E3822">
            <w:pPr>
              <w:spacing w:after="0" w:line="240" w:lineRule="auto"/>
              <w:jc w:val="center"/>
              <w:rPr>
                <w:b/>
              </w:rPr>
            </w:pPr>
            <w:r w:rsidRPr="00986C16">
              <w:rPr>
                <w:rFonts w:eastAsia="Calibri" w:cs="Arial"/>
                <w:b/>
              </w:rPr>
              <w:t>PSE facultative n°2</w:t>
            </w:r>
          </w:p>
        </w:tc>
        <w:tc>
          <w:tcPr>
            <w:tcW w:w="945" w:type="dxa"/>
            <w:shd w:val="clear" w:color="E7E6E6" w:themeColor="background2" w:fill="E7E6E6" w:themeFill="background2"/>
          </w:tcPr>
          <w:p w14:paraId="087AF5F2" w14:textId="77777777" w:rsidR="008C4258" w:rsidRDefault="006E3822"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>Unité</w:t>
            </w:r>
          </w:p>
        </w:tc>
        <w:tc>
          <w:tcPr>
            <w:tcW w:w="1029" w:type="dxa"/>
            <w:shd w:val="clear" w:color="E7E6E6" w:themeColor="background2" w:fill="E7E6E6" w:themeFill="background2"/>
          </w:tcPr>
          <w:p w14:paraId="7039F0AB" w14:textId="77777777" w:rsidR="008C4258" w:rsidRDefault="006E3822"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>Montant (€ HT)</w:t>
            </w:r>
          </w:p>
        </w:tc>
        <w:tc>
          <w:tcPr>
            <w:tcW w:w="1987" w:type="dxa"/>
            <w:shd w:val="clear" w:color="E7E6E6" w:themeColor="background2" w:fill="E7E6E6" w:themeFill="background2"/>
          </w:tcPr>
          <w:p w14:paraId="79D2D351" w14:textId="77777777" w:rsidR="008C4258" w:rsidRDefault="006E3822">
            <w:pPr>
              <w:spacing w:after="0" w:line="240" w:lineRule="auto"/>
              <w:rPr>
                <w:b/>
              </w:rPr>
            </w:pPr>
            <w:r>
              <w:rPr>
                <w:rFonts w:eastAsia="Calibri" w:cs="Arial"/>
                <w:b/>
              </w:rPr>
              <w:t>Montant (€ TTC)</w:t>
            </w:r>
          </w:p>
        </w:tc>
      </w:tr>
      <w:tr w:rsidR="008C4258" w14:paraId="47395317" w14:textId="77777777">
        <w:tc>
          <w:tcPr>
            <w:tcW w:w="582" w:type="dxa"/>
          </w:tcPr>
          <w:p w14:paraId="6817D09D" w14:textId="77777777" w:rsidR="008C4258" w:rsidRDefault="006E3822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061" w:type="dxa"/>
          </w:tcPr>
          <w:p w14:paraId="74AAF717" w14:textId="6BADE13C" w:rsidR="008C4258" w:rsidRDefault="00016577">
            <w:pPr>
              <w:spacing w:after="0" w:line="240" w:lineRule="auto"/>
              <w:jc w:val="both"/>
            </w:pPr>
            <w:r>
              <w:rPr>
                <w:rFonts w:eastAsia="Calibri" w:cs="Arial"/>
              </w:rPr>
              <w:t>C</w:t>
            </w:r>
            <w:r w:rsidRPr="00016577">
              <w:rPr>
                <w:rFonts w:eastAsia="Calibri" w:cs="Arial"/>
              </w:rPr>
              <w:t>ontrôleur moteur haute précision</w:t>
            </w:r>
          </w:p>
        </w:tc>
        <w:tc>
          <w:tcPr>
            <w:tcW w:w="945" w:type="dxa"/>
            <w:shd w:val="clear" w:color="FFFFFF" w:themeColor="background1" w:fill="FFFFFF" w:themeFill="background1"/>
          </w:tcPr>
          <w:p w14:paraId="5DD62850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Forfait</w:t>
            </w:r>
          </w:p>
        </w:tc>
        <w:tc>
          <w:tcPr>
            <w:tcW w:w="1029" w:type="dxa"/>
            <w:shd w:val="clear" w:color="FFFFFF" w:themeColor="background1" w:fill="FFFFFF" w:themeFill="background1"/>
          </w:tcPr>
          <w:p w14:paraId="7BD561BF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€</w:t>
            </w:r>
          </w:p>
        </w:tc>
        <w:tc>
          <w:tcPr>
            <w:tcW w:w="1987" w:type="dxa"/>
            <w:shd w:val="clear" w:color="FFFFFF" w:themeColor="background1" w:fill="FFFFFF" w:themeFill="background1"/>
          </w:tcPr>
          <w:p w14:paraId="4413D0AD" w14:textId="77777777" w:rsidR="008C4258" w:rsidRDefault="006E3822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>€</w:t>
            </w:r>
          </w:p>
        </w:tc>
      </w:tr>
    </w:tbl>
    <w:p w14:paraId="7D3575D0" w14:textId="77777777" w:rsidR="008C4258" w:rsidRDefault="008C4258">
      <w:pPr>
        <w:jc w:val="both"/>
      </w:pPr>
    </w:p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582"/>
        <w:gridCol w:w="5061"/>
        <w:gridCol w:w="945"/>
        <w:gridCol w:w="1029"/>
        <w:gridCol w:w="1987"/>
      </w:tblGrid>
      <w:tr w:rsidR="008C4258" w14:paraId="61F0B511" w14:textId="77777777">
        <w:tc>
          <w:tcPr>
            <w:tcW w:w="582" w:type="dxa"/>
          </w:tcPr>
          <w:p w14:paraId="4469F5CC" w14:textId="655DE9A7" w:rsidR="008C4258" w:rsidRDefault="008C4258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  <w:tc>
          <w:tcPr>
            <w:tcW w:w="5061" w:type="dxa"/>
          </w:tcPr>
          <w:p w14:paraId="300771D2" w14:textId="3D0E36ED" w:rsidR="008C4258" w:rsidRDefault="008C4258">
            <w:pPr>
              <w:spacing w:after="0" w:line="240" w:lineRule="auto"/>
              <w:jc w:val="both"/>
              <w:rPr>
                <w:rFonts w:eastAsia="Calibri" w:cs="Arial"/>
              </w:rPr>
            </w:pPr>
          </w:p>
        </w:tc>
        <w:tc>
          <w:tcPr>
            <w:tcW w:w="945" w:type="dxa"/>
            <w:shd w:val="clear" w:color="FFFFFF" w:themeColor="background1" w:fill="FFFFFF" w:themeFill="background1"/>
          </w:tcPr>
          <w:p w14:paraId="28A64F8B" w14:textId="1FE20608" w:rsidR="008C4258" w:rsidRDefault="008C4258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029" w:type="dxa"/>
            <w:shd w:val="clear" w:color="FFFFFF" w:themeColor="background1" w:fill="FFFFFF" w:themeFill="background1"/>
          </w:tcPr>
          <w:p w14:paraId="0F466190" w14:textId="58BB2E09" w:rsidR="008C4258" w:rsidRDefault="008C4258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987" w:type="dxa"/>
            <w:shd w:val="clear" w:color="FFFFFF" w:themeColor="background1" w:fill="FFFFFF" w:themeFill="background1"/>
          </w:tcPr>
          <w:p w14:paraId="1A199187" w14:textId="3A909BF1" w:rsidR="008C4258" w:rsidRDefault="008C4258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</w:tbl>
    <w:p w14:paraId="6A5F42E3" w14:textId="77777777" w:rsidR="008C4258" w:rsidRDefault="008C4258">
      <w:pPr>
        <w:jc w:val="both"/>
      </w:pPr>
    </w:p>
    <w:p w14:paraId="6395E604" w14:textId="77777777" w:rsidR="008C4258" w:rsidRDefault="008C4258">
      <w:pPr>
        <w:jc w:val="both"/>
      </w:pPr>
    </w:p>
    <w:sectPr w:rsidR="008C4258">
      <w:footerReference w:type="default" r:id="rId9"/>
      <w:footerReference w:type="first" r:id="rId10"/>
      <w:pgSz w:w="11906" w:h="16838"/>
      <w:pgMar w:top="1417" w:right="1417" w:bottom="1417" w:left="1417" w:header="0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959CB" w14:textId="77777777" w:rsidR="00312A77" w:rsidRDefault="00312A77">
      <w:pPr>
        <w:spacing w:after="0" w:line="240" w:lineRule="auto"/>
      </w:pPr>
      <w:r>
        <w:separator/>
      </w:r>
    </w:p>
  </w:endnote>
  <w:endnote w:type="continuationSeparator" w:id="0">
    <w:p w14:paraId="18CE3F34" w14:textId="77777777" w:rsidR="00312A77" w:rsidRDefault="00312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C854" w14:textId="51CA6F16" w:rsidR="008C4258" w:rsidRPr="00295C52" w:rsidRDefault="00295C52" w:rsidP="00295C52">
    <w:pPr>
      <w:pStyle w:val="Pieddepage"/>
    </w:pPr>
    <w:r>
      <w:t>26-017_M -</w:t>
    </w:r>
    <w:r w:rsidRPr="00295C52">
      <w:t>acquisition d’une source calibrée par sphère intégrante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047B1" w14:textId="77777777" w:rsidR="008C4258" w:rsidRDefault="006E3822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4E6AFD0F" w14:textId="77777777" w:rsidR="008C4258" w:rsidRDefault="006E3822">
    <w:pPr>
      <w:pStyle w:val="Pieddepage"/>
      <w:rPr>
        <w:sz w:val="16"/>
        <w:szCs w:val="16"/>
      </w:rPr>
    </w:pPr>
    <w:r>
      <w:rPr>
        <w:sz w:val="16"/>
        <w:szCs w:val="16"/>
      </w:rPr>
      <w:t xml:space="preserve">BP - marché de fourniture, livraison et installation d’une caméra </w:t>
    </w:r>
    <w:proofErr w:type="spellStart"/>
    <w:r>
      <w:rPr>
        <w:sz w:val="16"/>
        <w:szCs w:val="16"/>
      </w:rPr>
      <w:t>hyperspectrale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5D29" w14:textId="77777777" w:rsidR="00312A77" w:rsidRDefault="00312A77">
      <w:pPr>
        <w:spacing w:after="0" w:line="240" w:lineRule="auto"/>
      </w:pPr>
      <w:r>
        <w:separator/>
      </w:r>
    </w:p>
  </w:footnote>
  <w:footnote w:type="continuationSeparator" w:id="0">
    <w:p w14:paraId="4FA5B9F7" w14:textId="77777777" w:rsidR="00312A77" w:rsidRDefault="00312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1783"/>
    <w:multiLevelType w:val="hybridMultilevel"/>
    <w:tmpl w:val="7F8C8274"/>
    <w:lvl w:ilvl="0" w:tplc="311090BA">
      <w:start w:val="1"/>
      <w:numFmt w:val="decimal"/>
      <w:pStyle w:val="Titre1"/>
      <w:isLgl/>
      <w:lvlText w:val="%1."/>
      <w:lvlJc w:val="left"/>
      <w:pPr>
        <w:tabs>
          <w:tab w:val="num" w:pos="0"/>
        </w:tabs>
        <w:ind w:left="720" w:hanging="360"/>
      </w:pPr>
    </w:lvl>
    <w:lvl w:ilvl="1" w:tplc="C0BC66D8">
      <w:start w:val="1"/>
      <w:numFmt w:val="lowerLetter"/>
      <w:isLgl/>
      <w:lvlText w:val="%2."/>
      <w:lvlJc w:val="left"/>
      <w:pPr>
        <w:tabs>
          <w:tab w:val="num" w:pos="0"/>
        </w:tabs>
        <w:ind w:left="1440" w:hanging="360"/>
      </w:pPr>
    </w:lvl>
    <w:lvl w:ilvl="2" w:tplc="C8ACF5F4">
      <w:start w:val="1"/>
      <w:numFmt w:val="lowerRoman"/>
      <w:isLgl/>
      <w:lvlText w:val="%3."/>
      <w:lvlJc w:val="right"/>
      <w:pPr>
        <w:tabs>
          <w:tab w:val="num" w:pos="0"/>
        </w:tabs>
        <w:ind w:left="2160" w:hanging="180"/>
      </w:pPr>
    </w:lvl>
    <w:lvl w:ilvl="3" w:tplc="3926B57C">
      <w:start w:val="1"/>
      <w:numFmt w:val="decimal"/>
      <w:isLgl/>
      <w:lvlText w:val="%4."/>
      <w:lvlJc w:val="left"/>
      <w:pPr>
        <w:tabs>
          <w:tab w:val="num" w:pos="0"/>
        </w:tabs>
        <w:ind w:left="2880" w:hanging="360"/>
      </w:pPr>
    </w:lvl>
    <w:lvl w:ilvl="4" w:tplc="09C4181E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</w:lvl>
    <w:lvl w:ilvl="5" w:tplc="989E7FBE">
      <w:start w:val="1"/>
      <w:numFmt w:val="lowerRoman"/>
      <w:isLgl/>
      <w:lvlText w:val="%6."/>
      <w:lvlJc w:val="right"/>
      <w:pPr>
        <w:tabs>
          <w:tab w:val="num" w:pos="0"/>
        </w:tabs>
        <w:ind w:left="4320" w:hanging="180"/>
      </w:pPr>
    </w:lvl>
    <w:lvl w:ilvl="6" w:tplc="F88EE294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</w:lvl>
    <w:lvl w:ilvl="7" w:tplc="0ACED934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</w:lvl>
    <w:lvl w:ilvl="8" w:tplc="538EE3CC">
      <w:start w:val="1"/>
      <w:numFmt w:val="lowerRoman"/>
      <w:isLgl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627A70"/>
    <w:multiLevelType w:val="hybridMultilevel"/>
    <w:tmpl w:val="B6A2041A"/>
    <w:lvl w:ilvl="0" w:tplc="A66AADC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35EA86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8847FB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FA6AC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436406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04261B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59E70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44099F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590145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258"/>
    <w:rsid w:val="00016577"/>
    <w:rsid w:val="0012470D"/>
    <w:rsid w:val="00295C52"/>
    <w:rsid w:val="002A2640"/>
    <w:rsid w:val="00312A77"/>
    <w:rsid w:val="00343636"/>
    <w:rsid w:val="003B39B5"/>
    <w:rsid w:val="004B736B"/>
    <w:rsid w:val="005208A0"/>
    <w:rsid w:val="006D3041"/>
    <w:rsid w:val="006E3822"/>
    <w:rsid w:val="008C4258"/>
    <w:rsid w:val="00986C16"/>
    <w:rsid w:val="00C53B9D"/>
    <w:rsid w:val="00CC1B9A"/>
    <w:rsid w:val="00D92E96"/>
    <w:rsid w:val="00F6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0C860"/>
  <w15:docId w15:val="{ACC3DB2A-1EE1-4BCF-BDD8-F972E791A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uiPriority w:val="9"/>
    <w:qFormat/>
    <w:pPr>
      <w:keepNext/>
      <w:keepLines/>
      <w:numPr>
        <w:numId w:val="1"/>
      </w:numPr>
      <w:spacing w:after="240"/>
      <w:ind w:left="284" w:hanging="284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intense">
    <w:name w:val="Intense Emphasis"/>
    <w:basedOn w:val="Policepardfaut"/>
    <w:uiPriority w:val="21"/>
    <w:qFormat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qFormat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CaptionChar">
    <w:name w:val="Caption Char"/>
    <w:uiPriority w:val="99"/>
    <w:qFormat/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Titre1Car">
    <w:name w:val="Titre 1 Car"/>
    <w:basedOn w:val="Policepardfaut"/>
    <w:uiPriority w:val="9"/>
    <w:qFormat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En-tteCar">
    <w:name w:val="En-tête Car"/>
    <w:basedOn w:val="Policepardfaut"/>
    <w:uiPriority w:val="99"/>
    <w:qFormat/>
  </w:style>
  <w:style w:type="character" w:customStyle="1" w:styleId="PieddepageCar">
    <w:name w:val="Pied de page Car"/>
    <w:basedOn w:val="Policepardfaut"/>
    <w:uiPriority w:val="99"/>
    <w:qFormat/>
  </w:style>
  <w:style w:type="character" w:styleId="Numrodeligne">
    <w:name w:val="line number"/>
  </w:style>
  <w:style w:type="paragraph" w:styleId="Titre">
    <w:name w:val="Title"/>
    <w:basedOn w:val="Normal"/>
    <w:next w:val="Corpsdetext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Sansinterligne">
    <w:name w:val="No Spacing"/>
    <w:uiPriority w:val="1"/>
    <w:qFormat/>
  </w:style>
  <w:style w:type="paragraph" w:styleId="Sous-titr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Citation">
    <w:name w:val="Quote"/>
    <w:basedOn w:val="Normal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Notedebasdepage">
    <w:name w:val="footnote text"/>
    <w:basedOn w:val="Normal"/>
    <w:uiPriority w:val="99"/>
    <w:semiHidden/>
    <w:unhideWhenUsed/>
    <w:pPr>
      <w:spacing w:after="40" w:line="240" w:lineRule="auto"/>
    </w:pPr>
    <w:rPr>
      <w:sz w:val="18"/>
    </w:rPr>
  </w:style>
  <w:style w:type="paragraph" w:styleId="Notedefin">
    <w:name w:val="endnote text"/>
    <w:basedOn w:val="Normal"/>
    <w:uiPriority w:val="99"/>
    <w:semiHidden/>
    <w:unhideWhenUsed/>
    <w:pPr>
      <w:spacing w:after="0" w:line="240" w:lineRule="auto"/>
    </w:pPr>
    <w:rPr>
      <w:sz w:val="20"/>
    </w:rPr>
  </w:style>
  <w:style w:type="paragraph" w:styleId="TM1">
    <w:name w:val="toc 1"/>
    <w:basedOn w:val="Normal"/>
    <w:uiPriority w:val="39"/>
    <w:unhideWhenUsed/>
    <w:pPr>
      <w:spacing w:after="57"/>
    </w:pPr>
  </w:style>
  <w:style w:type="paragraph" w:styleId="TM2">
    <w:name w:val="toc 2"/>
    <w:basedOn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uiPriority w:val="39"/>
    <w:unhideWhenUsed/>
    <w:pPr>
      <w:spacing w:after="57"/>
      <w:ind w:left="2268"/>
    </w:pPr>
  </w:style>
  <w:style w:type="paragraph" w:styleId="Titreindex">
    <w:name w:val="index heading"/>
    <w:basedOn w:val="Titre"/>
  </w:style>
  <w:style w:type="paragraph" w:styleId="En-ttedetabledesmatires">
    <w:name w:val="TOC Heading"/>
    <w:uiPriority w:val="39"/>
    <w:unhideWhenUsed/>
    <w:qFormat/>
    <w:pPr>
      <w:spacing w:after="160" w:line="259" w:lineRule="auto"/>
    </w:pPr>
  </w:style>
  <w:style w:type="paragraph" w:styleId="Tabledesillustrations">
    <w:name w:val="table of figures"/>
    <w:basedOn w:val="Normal"/>
    <w:uiPriority w:val="99"/>
    <w:unhideWhenUsed/>
    <w:pPr>
      <w:spacing w:after="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En-tteetpieddepageuser">
    <w:name w:val="En-tête et pied de page (user)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Normal"/>
    <w:qFormat/>
    <w:pPr>
      <w:spacing w:after="120" w:line="240" w:lineRule="auto"/>
    </w:pPr>
    <w:rPr>
      <w:rFonts w:ascii="Arial" w:eastAsia="Arial" w:hAnsi="Arial" w:cs="Arial"/>
      <w:color w:val="00000A"/>
      <w:sz w:val="21"/>
      <w:szCs w:val="24"/>
      <w:lang w:eastAsia="zh-CN" w:bidi="hi-IN"/>
    </w:rPr>
  </w:style>
  <w:style w:type="paragraph" w:styleId="Rvision">
    <w:name w:val="Revision"/>
    <w:uiPriority w:val="99"/>
    <w:semiHidden/>
    <w:qFormat/>
  </w:style>
  <w:style w:type="numbering" w:customStyle="1" w:styleId="Pasdeliste">
    <w:name w:val="Pas de liste"/>
    <w:uiPriority w:val="99"/>
    <w:semiHidden/>
    <w:unhideWhenUsed/>
    <w:qFormat/>
  </w:style>
  <w:style w:type="table" w:styleId="Grilledutableau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Tableausimp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Tableausimp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Tableausimp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TableauGrille1Clair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TableauGrille7Couleur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NormalWeb1">
    <w:name w:val="Normal (Web)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Autospacing="1" w:after="119"/>
    </w:pPr>
    <w:rPr>
      <w:rFonts w:eastAsia="Times New Roman" w:cs="Times New Roman"/>
      <w:color w:val="595959" w:themeColor="text1" w:themeTint="A6"/>
      <w:sz w:val="28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118</Words>
  <Characters>655</Characters>
  <Application>Microsoft Office Word</Application>
  <DocSecurity>0</DocSecurity>
  <Lines>5</Lines>
  <Paragraphs>1</Paragraphs>
  <ScaleCrop>false</ScaleCrop>
  <Company>Cerema Ouest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ODIE</dc:creator>
  <dc:description/>
  <cp:lastModifiedBy>Mme Mathilde HARDY</cp:lastModifiedBy>
  <cp:revision>51</cp:revision>
  <cp:lastPrinted>2026-02-16T09:20:00Z</cp:lastPrinted>
  <dcterms:created xsi:type="dcterms:W3CDTF">2024-09-06T08:11:00Z</dcterms:created>
  <dcterms:modified xsi:type="dcterms:W3CDTF">2026-02-16T09:22:00Z</dcterms:modified>
  <dc:language>fr-FR</dc:language>
</cp:coreProperties>
</file>